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CD" w:rsidRPr="00540DF3" w:rsidRDefault="007618CD" w:rsidP="007618CD">
      <w:pPr>
        <w:rPr>
          <w:sz w:val="24"/>
          <w:szCs w:val="24"/>
          <w:lang w:val="sr-Cyrl-RS"/>
        </w:rPr>
      </w:pPr>
      <w:r w:rsidRPr="00540DF3">
        <w:rPr>
          <w:sz w:val="24"/>
          <w:szCs w:val="24"/>
          <w:lang w:val="sr-Cyrl-RS"/>
        </w:rPr>
        <w:t>РЕПУБЛИКА СРБИЈА</w:t>
      </w:r>
    </w:p>
    <w:p w:rsidR="007618CD" w:rsidRPr="00540DF3" w:rsidRDefault="007618CD" w:rsidP="007618CD">
      <w:pPr>
        <w:rPr>
          <w:sz w:val="24"/>
          <w:szCs w:val="24"/>
          <w:lang w:val="sr-Cyrl-RS"/>
        </w:rPr>
      </w:pPr>
      <w:r w:rsidRPr="00540DF3">
        <w:rPr>
          <w:sz w:val="24"/>
          <w:szCs w:val="24"/>
          <w:lang w:val="sr-Cyrl-RS"/>
        </w:rPr>
        <w:t>НАРОДНА СКУПШТИНА</w:t>
      </w:r>
    </w:p>
    <w:p w:rsidR="007618CD" w:rsidRPr="00540DF3" w:rsidRDefault="007618CD" w:rsidP="007618CD">
      <w:pPr>
        <w:rPr>
          <w:sz w:val="24"/>
          <w:szCs w:val="24"/>
          <w:lang w:val="sr-Cyrl-RS"/>
        </w:rPr>
      </w:pPr>
      <w:r w:rsidRPr="00540DF3">
        <w:rPr>
          <w:sz w:val="24"/>
          <w:szCs w:val="24"/>
          <w:lang w:val="sr-Cyrl-RS"/>
        </w:rPr>
        <w:t>Одбор за привреду, регионални развој,</w:t>
      </w:r>
    </w:p>
    <w:p w:rsidR="007618CD" w:rsidRPr="00540DF3" w:rsidRDefault="007618CD" w:rsidP="007618CD">
      <w:pPr>
        <w:rPr>
          <w:sz w:val="24"/>
          <w:szCs w:val="24"/>
          <w:lang w:val="sr-Cyrl-RS"/>
        </w:rPr>
      </w:pPr>
      <w:r w:rsidRPr="00540DF3">
        <w:rPr>
          <w:sz w:val="24"/>
          <w:szCs w:val="24"/>
          <w:lang w:val="sr-Cyrl-RS"/>
        </w:rPr>
        <w:t>трговину, туризам и енергетику</w:t>
      </w:r>
    </w:p>
    <w:p w:rsidR="007618CD" w:rsidRPr="00540DF3" w:rsidRDefault="007618CD" w:rsidP="007618CD">
      <w:pPr>
        <w:rPr>
          <w:sz w:val="24"/>
          <w:szCs w:val="24"/>
          <w:lang w:val="sr-Latn-RS"/>
        </w:rPr>
      </w:pPr>
      <w:r w:rsidRPr="00540DF3">
        <w:rPr>
          <w:sz w:val="24"/>
          <w:szCs w:val="24"/>
          <w:lang w:val="sr-Cyrl-RS"/>
        </w:rPr>
        <w:t>10 Број 06-2/</w:t>
      </w:r>
      <w:r w:rsidRPr="00540DF3">
        <w:rPr>
          <w:sz w:val="24"/>
          <w:szCs w:val="24"/>
          <w:lang w:val="sr-Latn-RS"/>
        </w:rPr>
        <w:t>6-16</w:t>
      </w:r>
    </w:p>
    <w:p w:rsidR="007618CD" w:rsidRPr="00540DF3" w:rsidRDefault="001E7227" w:rsidP="007618CD">
      <w:pPr>
        <w:rPr>
          <w:sz w:val="24"/>
          <w:szCs w:val="24"/>
          <w:lang w:val="sr-Cyrl-RS"/>
        </w:rPr>
      </w:pPr>
      <w:r>
        <w:rPr>
          <w:sz w:val="24"/>
          <w:szCs w:val="24"/>
          <w:lang w:val="sr-Cyrl-RS"/>
        </w:rPr>
        <w:t>22</w:t>
      </w:r>
      <w:bookmarkStart w:id="0" w:name="_GoBack"/>
      <w:bookmarkEnd w:id="0"/>
      <w:r w:rsidR="007618CD" w:rsidRPr="00540DF3">
        <w:rPr>
          <w:sz w:val="24"/>
          <w:szCs w:val="24"/>
          <w:lang w:val="sr-Cyrl-RS"/>
        </w:rPr>
        <w:t>. фебруар 2016. године</w:t>
      </w:r>
    </w:p>
    <w:p w:rsidR="007618CD" w:rsidRPr="00540DF3" w:rsidRDefault="007618CD" w:rsidP="007618CD">
      <w:pPr>
        <w:rPr>
          <w:sz w:val="24"/>
          <w:szCs w:val="24"/>
          <w:lang w:val="sr-Cyrl-RS"/>
        </w:rPr>
      </w:pPr>
      <w:r w:rsidRPr="00540DF3">
        <w:rPr>
          <w:sz w:val="24"/>
          <w:szCs w:val="24"/>
          <w:lang w:val="sr-Cyrl-RS"/>
        </w:rPr>
        <w:t>Б е о г р а д</w:t>
      </w:r>
    </w:p>
    <w:p w:rsidR="007618CD" w:rsidRPr="00540DF3" w:rsidRDefault="007618CD" w:rsidP="007618CD">
      <w:pPr>
        <w:rPr>
          <w:sz w:val="24"/>
          <w:szCs w:val="24"/>
          <w:lang w:val="sr-Cyrl-RS"/>
        </w:rPr>
      </w:pPr>
    </w:p>
    <w:p w:rsidR="007618CD" w:rsidRPr="00540DF3" w:rsidRDefault="007618CD" w:rsidP="007618CD">
      <w:pPr>
        <w:rPr>
          <w:sz w:val="24"/>
          <w:szCs w:val="24"/>
          <w:lang w:val="sr-Cyrl-RS"/>
        </w:rPr>
      </w:pPr>
    </w:p>
    <w:p w:rsidR="007618CD" w:rsidRPr="00540DF3" w:rsidRDefault="007618CD" w:rsidP="007618CD">
      <w:pPr>
        <w:jc w:val="center"/>
        <w:rPr>
          <w:sz w:val="24"/>
          <w:szCs w:val="24"/>
          <w:lang w:val="sr-Cyrl-RS"/>
        </w:rPr>
      </w:pPr>
      <w:r w:rsidRPr="00540DF3">
        <w:rPr>
          <w:sz w:val="24"/>
          <w:szCs w:val="24"/>
          <w:lang w:val="sr-Cyrl-RS"/>
        </w:rPr>
        <w:t>ЗАПИСНИК</w:t>
      </w:r>
    </w:p>
    <w:p w:rsidR="007618CD" w:rsidRPr="00540DF3" w:rsidRDefault="007618CD" w:rsidP="007618CD">
      <w:pPr>
        <w:jc w:val="center"/>
        <w:rPr>
          <w:sz w:val="24"/>
          <w:szCs w:val="24"/>
          <w:lang w:val="sr-Cyrl-RS"/>
        </w:rPr>
      </w:pPr>
      <w:r w:rsidRPr="00540DF3">
        <w:rPr>
          <w:sz w:val="24"/>
          <w:szCs w:val="24"/>
          <w:lang w:val="sr-Latn-RS"/>
        </w:rPr>
        <w:t>40</w:t>
      </w:r>
      <w:r w:rsidRPr="00540DF3">
        <w:rPr>
          <w:sz w:val="24"/>
          <w:szCs w:val="24"/>
          <w:lang w:val="sr-Cyrl-RS"/>
        </w:rPr>
        <w:t xml:space="preserve">. СЕДНИЦЕ ОДБОРА ЗА ПРИВРЕДУ, РЕГИОНАЛНИ РАЗВОЈ, ТРГОВИНУ, ТУРИЗАМ И ЕНЕРГЕТИКУ, ОДРЖАНЕ </w:t>
      </w:r>
      <w:r w:rsidRPr="00540DF3">
        <w:rPr>
          <w:sz w:val="24"/>
          <w:szCs w:val="24"/>
          <w:lang w:val="sr-Latn-RS"/>
        </w:rPr>
        <w:t>18</w:t>
      </w:r>
      <w:r w:rsidRPr="00540DF3">
        <w:rPr>
          <w:sz w:val="24"/>
          <w:szCs w:val="24"/>
          <w:lang w:val="sr-Cyrl-RS"/>
        </w:rPr>
        <w:t>. ЈАНУАРА 2016. ГОДИНЕ</w:t>
      </w:r>
    </w:p>
    <w:p w:rsidR="007618CD" w:rsidRPr="00540DF3" w:rsidRDefault="007618CD" w:rsidP="007618CD">
      <w:pPr>
        <w:jc w:val="center"/>
        <w:rPr>
          <w:sz w:val="24"/>
          <w:szCs w:val="24"/>
          <w:lang w:val="sr-Cyrl-RS"/>
        </w:rPr>
      </w:pPr>
    </w:p>
    <w:p w:rsidR="007618CD" w:rsidRPr="00540DF3" w:rsidRDefault="007618CD" w:rsidP="007618CD">
      <w:pPr>
        <w:jc w:val="center"/>
        <w:rPr>
          <w:sz w:val="24"/>
          <w:szCs w:val="24"/>
          <w:lang w:val="sr-Cyrl-RS"/>
        </w:rPr>
      </w:pPr>
    </w:p>
    <w:p w:rsidR="007618CD" w:rsidRPr="00540DF3" w:rsidRDefault="007618CD" w:rsidP="007618CD">
      <w:pPr>
        <w:rPr>
          <w:sz w:val="24"/>
          <w:szCs w:val="24"/>
          <w:lang w:val="sr-Cyrl-RS"/>
        </w:rPr>
      </w:pPr>
      <w:r w:rsidRPr="00540DF3">
        <w:rPr>
          <w:sz w:val="24"/>
          <w:szCs w:val="24"/>
          <w:lang w:val="sr-Cyrl-RS"/>
        </w:rPr>
        <w:tab/>
        <w:t>Седница је почела у 12 часова и 15 минута.</w:t>
      </w:r>
    </w:p>
    <w:p w:rsidR="007618CD" w:rsidRPr="00540DF3" w:rsidRDefault="007618CD" w:rsidP="007618CD">
      <w:pPr>
        <w:rPr>
          <w:sz w:val="24"/>
          <w:szCs w:val="24"/>
          <w:lang w:val="sr-Cyrl-RS"/>
        </w:rPr>
      </w:pPr>
      <w:r w:rsidRPr="00540DF3">
        <w:rPr>
          <w:sz w:val="24"/>
          <w:szCs w:val="24"/>
          <w:lang w:val="sr-Cyrl-RS"/>
        </w:rPr>
        <w:tab/>
        <w:t>Седницом је председавала Александра Томић, председник Одбора.</w:t>
      </w:r>
    </w:p>
    <w:p w:rsidR="007618CD" w:rsidRPr="00540DF3" w:rsidRDefault="007618CD" w:rsidP="007618CD">
      <w:pPr>
        <w:rPr>
          <w:sz w:val="24"/>
          <w:szCs w:val="24"/>
          <w:lang w:val="sr-Cyrl-RS"/>
        </w:rPr>
      </w:pPr>
      <w:r w:rsidRPr="00540DF3">
        <w:rPr>
          <w:sz w:val="24"/>
          <w:szCs w:val="24"/>
          <w:lang w:val="sr-Cyrl-RS"/>
        </w:rPr>
        <w:tab/>
        <w:t>Поред председника, седници су присуствовали чланови Одбора Драгољуб Зиндовић и Владан Милошевић.</w:t>
      </w:r>
    </w:p>
    <w:p w:rsidR="007618CD" w:rsidRPr="00540DF3" w:rsidRDefault="007618CD" w:rsidP="007618CD">
      <w:pPr>
        <w:rPr>
          <w:sz w:val="24"/>
          <w:szCs w:val="24"/>
          <w:lang w:val="sr-Cyrl-RS"/>
        </w:rPr>
      </w:pPr>
      <w:r w:rsidRPr="00540DF3">
        <w:rPr>
          <w:sz w:val="24"/>
          <w:szCs w:val="24"/>
          <w:lang w:val="sr-Cyrl-RS"/>
        </w:rPr>
        <w:tab/>
        <w:t>Седници су присуствовали заменици чланова Одбора: Милош Тошанић (заменик члана Одбора Зорана Пралице), Саша Максимовић (заменик члана Одбора Радмила Костића), Горан Вукадиновић (заменик члана Одбора Јелене Мијатовић), Никола Јоловић (заменик члана Одбора Александра Јовичића), Синиша Максимовић (заменик члана Одбора Ђорђа Чабаркапе), Ивана Динић (заменик члана Одбора Новице Тончева) и Драган Јовановић (заменик члана Одбора Младена Грујића).</w:t>
      </w:r>
    </w:p>
    <w:p w:rsidR="007618CD" w:rsidRPr="00540DF3" w:rsidRDefault="007618CD" w:rsidP="007618CD">
      <w:pPr>
        <w:rPr>
          <w:sz w:val="24"/>
          <w:szCs w:val="24"/>
          <w:lang w:val="sr-Cyrl-RS"/>
        </w:rPr>
      </w:pPr>
      <w:r w:rsidRPr="00540DF3">
        <w:rPr>
          <w:sz w:val="24"/>
          <w:szCs w:val="24"/>
          <w:lang w:val="sr-Cyrl-RS"/>
        </w:rPr>
        <w:tab/>
        <w:t>Седници нису присуствовали чланови Одбора: Зоран Пралица, Драгомир Карић, Радмило Костић, Јелена Мијатовић, Александар Јовичић, Оливера Пауљескић, Ђорђе Чабаркапа, Новица Тончев, Горан Ћирић, Иван Карић, Владимир Маринковић, Младен Грујић, Дејан Чапо и Енис Имамовић.</w:t>
      </w:r>
    </w:p>
    <w:p w:rsidR="007618CD" w:rsidRPr="00540DF3" w:rsidRDefault="007618CD" w:rsidP="007618CD">
      <w:pPr>
        <w:rPr>
          <w:sz w:val="24"/>
          <w:szCs w:val="24"/>
          <w:lang w:val="sr-Cyrl-RS"/>
        </w:rPr>
      </w:pPr>
      <w:r w:rsidRPr="00540DF3">
        <w:rPr>
          <w:sz w:val="24"/>
          <w:szCs w:val="24"/>
          <w:lang w:val="sr-Cyrl-RS"/>
        </w:rPr>
        <w:tab/>
        <w:t>Седници су, на позив председника, присуствовали: Весна Ковач и Стеван Никчевић, државни секретари у Министарству трговине, туризма и телекомуникација, Рената Пинџо и Бојана Тодоровић, помоћници министра трговине, туризма и телекомуникација и Душица Ђорђевић, виш</w:t>
      </w:r>
      <w:r>
        <w:rPr>
          <w:sz w:val="24"/>
          <w:szCs w:val="24"/>
          <w:lang w:val="sr-Cyrl-RS"/>
        </w:rPr>
        <w:t>и</w:t>
      </w:r>
      <w:r w:rsidRPr="00540DF3">
        <w:rPr>
          <w:sz w:val="24"/>
          <w:szCs w:val="24"/>
          <w:lang w:val="sr-Cyrl-RS"/>
        </w:rPr>
        <w:t xml:space="preserve"> саветник у Министарству трговине, туризма и телекомуникација.</w:t>
      </w:r>
    </w:p>
    <w:p w:rsidR="007618CD" w:rsidRPr="00540DF3" w:rsidRDefault="007618CD" w:rsidP="007618CD">
      <w:pPr>
        <w:rPr>
          <w:sz w:val="24"/>
          <w:szCs w:val="24"/>
          <w:lang w:val="sr-Cyrl-RS"/>
        </w:rPr>
      </w:pPr>
    </w:p>
    <w:p w:rsidR="007618CD" w:rsidRPr="00540DF3" w:rsidRDefault="007618CD" w:rsidP="007618CD">
      <w:pPr>
        <w:rPr>
          <w:sz w:val="24"/>
          <w:szCs w:val="24"/>
          <w:lang w:val="sr-Cyrl-RS"/>
        </w:rPr>
      </w:pPr>
      <w:r w:rsidRPr="00540DF3">
        <w:rPr>
          <w:sz w:val="24"/>
          <w:szCs w:val="24"/>
          <w:lang w:val="sr-Cyrl-RS"/>
        </w:rPr>
        <w:tab/>
        <w:t xml:space="preserve">На предлог председника, Одбор је </w:t>
      </w:r>
      <w:r>
        <w:rPr>
          <w:sz w:val="24"/>
          <w:szCs w:val="24"/>
          <w:lang w:val="sr-Cyrl-RS"/>
        </w:rPr>
        <w:t>једногласно</w:t>
      </w:r>
      <w:r w:rsidRPr="00540DF3">
        <w:rPr>
          <w:sz w:val="24"/>
          <w:szCs w:val="24"/>
          <w:lang w:val="sr-Cyrl-RS"/>
        </w:rPr>
        <w:t xml:space="preserve"> утврдио следећи</w:t>
      </w:r>
    </w:p>
    <w:p w:rsidR="007618CD" w:rsidRPr="007618CD" w:rsidRDefault="007618CD" w:rsidP="007618CD">
      <w:pPr>
        <w:rPr>
          <w:sz w:val="10"/>
          <w:szCs w:val="10"/>
          <w:lang w:val="sr-Cyrl-RS"/>
        </w:rPr>
      </w:pPr>
    </w:p>
    <w:p w:rsidR="007618CD" w:rsidRPr="00540DF3" w:rsidRDefault="007618CD" w:rsidP="007618CD">
      <w:pPr>
        <w:jc w:val="center"/>
        <w:rPr>
          <w:sz w:val="24"/>
          <w:szCs w:val="24"/>
          <w:lang w:val="sr-Cyrl-RS"/>
        </w:rPr>
      </w:pPr>
      <w:r w:rsidRPr="00540DF3">
        <w:rPr>
          <w:sz w:val="24"/>
          <w:szCs w:val="24"/>
          <w:lang w:val="sr-Cyrl-RS"/>
        </w:rPr>
        <w:t>Д н е в н и   р е д</w:t>
      </w:r>
    </w:p>
    <w:p w:rsidR="007618CD" w:rsidRPr="007618CD" w:rsidRDefault="007618CD" w:rsidP="007618CD">
      <w:pPr>
        <w:jc w:val="center"/>
        <w:rPr>
          <w:sz w:val="10"/>
          <w:szCs w:val="10"/>
          <w:lang w:val="sr-Cyrl-RS"/>
        </w:rPr>
      </w:pPr>
    </w:p>
    <w:p w:rsidR="007618CD" w:rsidRPr="00540DF3" w:rsidRDefault="007618CD" w:rsidP="007618CD">
      <w:pPr>
        <w:ind w:firstLine="1418"/>
        <w:rPr>
          <w:sz w:val="24"/>
          <w:szCs w:val="24"/>
          <w:lang w:val="sr-Cyrl-RS"/>
        </w:rPr>
      </w:pPr>
      <w:r w:rsidRPr="00540DF3">
        <w:rPr>
          <w:sz w:val="24"/>
          <w:szCs w:val="24"/>
          <w:lang w:val="sr-Cyrl-RS"/>
        </w:rPr>
        <w:tab/>
        <w:t>1. Разматрање Предлога закона о оглашавању, који је поднела Влада (број 011-2926/15 од 6. новембра 2015. године);</w:t>
      </w:r>
    </w:p>
    <w:p w:rsidR="007618CD" w:rsidRPr="00540DF3" w:rsidRDefault="007618CD" w:rsidP="007618CD">
      <w:pPr>
        <w:rPr>
          <w:sz w:val="24"/>
          <w:szCs w:val="24"/>
          <w:lang w:val="sr-Cyrl-RS"/>
        </w:rPr>
      </w:pPr>
      <w:r>
        <w:rPr>
          <w:sz w:val="24"/>
          <w:szCs w:val="24"/>
          <w:lang w:val="sr-Cyrl-RS"/>
        </w:rPr>
        <w:tab/>
      </w:r>
      <w:r w:rsidRPr="00540DF3">
        <w:rPr>
          <w:sz w:val="24"/>
          <w:szCs w:val="24"/>
          <w:lang w:val="sr-Cyrl-RS"/>
        </w:rPr>
        <w:t>2. Разматрање Извештаја о раду Министарства трговине, туризма и телекомуникација за период 01.07.2015. године до 30.09.2015. године (број 02-2745/15 од 27. октобра</w:t>
      </w:r>
      <w:r>
        <w:rPr>
          <w:sz w:val="24"/>
          <w:szCs w:val="24"/>
          <w:lang w:val="sr-Cyrl-RS"/>
        </w:rPr>
        <w:t xml:space="preserve"> 2015. године)</w:t>
      </w:r>
      <w:r w:rsidRPr="00540DF3">
        <w:rPr>
          <w:sz w:val="24"/>
          <w:szCs w:val="24"/>
          <w:lang w:val="sr-Cyrl-RS"/>
        </w:rPr>
        <w:t>.</w:t>
      </w:r>
    </w:p>
    <w:p w:rsidR="007618CD" w:rsidRPr="00540DF3" w:rsidRDefault="007618CD" w:rsidP="007618CD">
      <w:pPr>
        <w:rPr>
          <w:sz w:val="24"/>
          <w:szCs w:val="24"/>
          <w:lang w:val="sr-Cyrl-RS"/>
        </w:rPr>
      </w:pPr>
    </w:p>
    <w:p w:rsidR="007618CD" w:rsidRPr="00540DF3" w:rsidRDefault="007618CD" w:rsidP="007618CD">
      <w:pPr>
        <w:rPr>
          <w:b/>
          <w:sz w:val="24"/>
          <w:szCs w:val="24"/>
          <w:lang w:val="sr-Cyrl-RS"/>
        </w:rPr>
      </w:pPr>
      <w:r w:rsidRPr="00540DF3">
        <w:rPr>
          <w:sz w:val="24"/>
          <w:szCs w:val="24"/>
          <w:lang w:val="sr-Cyrl-RS"/>
        </w:rPr>
        <w:tab/>
        <w:t xml:space="preserve">Прва тачка дневног реда – </w:t>
      </w:r>
      <w:r w:rsidRPr="00540DF3">
        <w:rPr>
          <w:b/>
          <w:sz w:val="24"/>
          <w:szCs w:val="24"/>
          <w:lang w:val="sr-Cyrl-RS"/>
        </w:rPr>
        <w:t>Разматрање Предлога закона о оглашавању</w:t>
      </w:r>
    </w:p>
    <w:p w:rsidR="007618CD" w:rsidRPr="00540DF3" w:rsidRDefault="007618CD" w:rsidP="007618CD">
      <w:pPr>
        <w:rPr>
          <w:b/>
          <w:sz w:val="24"/>
          <w:szCs w:val="24"/>
          <w:lang w:val="sr-Cyrl-RS"/>
        </w:rPr>
      </w:pPr>
    </w:p>
    <w:p w:rsidR="007618CD" w:rsidRPr="00540DF3" w:rsidRDefault="007618CD" w:rsidP="007618CD">
      <w:pPr>
        <w:rPr>
          <w:sz w:val="24"/>
          <w:szCs w:val="24"/>
          <w:lang w:val="sr-Cyrl-RS"/>
        </w:rPr>
      </w:pPr>
      <w:r w:rsidRPr="00540DF3">
        <w:rPr>
          <w:b/>
          <w:sz w:val="24"/>
          <w:szCs w:val="24"/>
          <w:lang w:val="sr-Cyrl-RS"/>
        </w:rPr>
        <w:tab/>
      </w:r>
      <w:r w:rsidRPr="00540DF3">
        <w:rPr>
          <w:sz w:val="24"/>
          <w:szCs w:val="24"/>
          <w:lang w:val="sr-Cyrl-RS"/>
        </w:rPr>
        <w:t xml:space="preserve">Одбор је размотрио Предлог закона о </w:t>
      </w:r>
      <w:r>
        <w:rPr>
          <w:sz w:val="24"/>
          <w:szCs w:val="24"/>
          <w:lang w:val="sr-Cyrl-RS"/>
        </w:rPr>
        <w:t>оглашавању у начелу и поднео Извештај</w:t>
      </w:r>
      <w:r w:rsidRPr="00540DF3">
        <w:rPr>
          <w:sz w:val="24"/>
          <w:szCs w:val="24"/>
          <w:lang w:val="sr-Cyrl-RS"/>
        </w:rPr>
        <w:t xml:space="preserve"> Народној скупштини.</w:t>
      </w:r>
    </w:p>
    <w:p w:rsidR="007618CD" w:rsidRDefault="007618CD" w:rsidP="007618CD">
      <w:pPr>
        <w:rPr>
          <w:sz w:val="24"/>
          <w:szCs w:val="24"/>
          <w:lang w:val="sr-Cyrl-RS"/>
        </w:rPr>
      </w:pPr>
      <w:r w:rsidRPr="00540DF3">
        <w:rPr>
          <w:sz w:val="24"/>
          <w:szCs w:val="24"/>
          <w:lang w:val="sr-Cyrl-RS"/>
        </w:rPr>
        <w:tab/>
        <w:t>У уводним напоменама,</w:t>
      </w:r>
      <w:r>
        <w:rPr>
          <w:sz w:val="24"/>
          <w:szCs w:val="24"/>
          <w:lang w:val="sr-Cyrl-RS"/>
        </w:rPr>
        <w:t xml:space="preserve"> Весна Ковач, државни секретар у Министарству трговине, туризма и телекомуникација је истакла да је важећи Закон о оглашавању из 2005. године превазиђен, јер су се од тада десиле многе промене па је потребно да се </w:t>
      </w:r>
      <w:r>
        <w:rPr>
          <w:sz w:val="24"/>
          <w:szCs w:val="24"/>
          <w:lang w:val="sr-Cyrl-RS"/>
        </w:rPr>
        <w:lastRenderedPageBreak/>
        <w:t xml:space="preserve">преиспитају одређена ограничења и законски реше одређена питања која нису регулисана. Предложеним законом је транспонована директива 2006/114/ЕЗ о обмањујућем и упоредном оглашавању, директива 2003/33/ЕЗ о хармонизацији прописа који се тичу дуванских производа, као и део директиве 2010/13/ЕЗ који се односи на оглашавање у аудиовизуелним и медијским сервисима. Коришћена је и препорука Европске комисије из 2014. године која се односи на онлајн наградне игре на срећу. Европска комисија је дала позитивно мишљење и похвалила што је уграђена и њихова необавезујућа препорука. У уводним одредбама Предлога закона дефинисани су оглашавање, оглашивач, огласна порука, преносилац огласне поруке и дата општа правила оглашавања. Дефинисано је обмањујуће оглашавање које је забрањено и упоредно оглашавање које је дозвољено уз кумулативно поштовање одређених услова и критеријума. Прописани су прекршаји за обмањујуће и недозвољено упоредно оглашавање и дата могућност да свако правно или физичко лице чије је право или интерес угрожен оваквим оглашавањем поднесе тужбу надлежном суду. Посебна правила и ограничења се могу поделити на три одељка. Први одељак се односи на заштиту малолетника. Малолетници се штите посебним рестрикцијама садржаја, начина и средстава оглашавања. Други одељак се односи на начине оглашавања у електронским и штампаним медијима, на отвореним површинама и интернету. Предложено је да оглашавање на отвореним површинама буде у надлежности локалне самоуправе у погледу уређења услова и начина оглашавања на јавном простору, имајући у виду и интерес заштите сигурности пешака и моторних возила, очување изгледа града и заштиту културних споменика. Новина у предложеном закону је интернет оглашавање и важно је дефинисати га и успоставити одређене критеријуме, јер је велики део сиве економије са улице пренет на интернет. Трећи одељак представљају посебна правила која се односе на оглашавање алкохолних пића и дуванских производа, наградне игре, здравствене изјаве, забрану оглашавања дроге и других психоактивних супстанци, ограничења оглашавања порнографије и ограничења оглашавања наоружања и војне опреме. Дозвољено је оглашавање алкохола у штампаним медијима без ограничења, осим у оним намењеним деци. Забрањено је свако оглашавање које промовише употребу и конзумацију алкохола и прописана је упозоравајућа порука забране продаје малолетницима, коју прописује министар надлежан за трговину. У електронским медијима дозвољено је рекламирање од 18,00 часова до 06,00 часова за алкохолна пића до 20% учешћа алкохола, а за преко 20% учешћа алкохола дозвољено је оглашавање у периоду од 23,00 часа до 06,00 часова. Забрањено је оглашавање дуванских производа и електронских цигарета. Ограничено је време оглашавања класичних и посебних игара на срећу у електронским медијима и биоскопима, тако да је дозвољено у периоду од 21,00 час до 06,00 часова. Прописане су наградне игре и здравствене изјаве. Спонзорство мора бити јасно означено и не сме доводити у заблуду примаоца огласне поруке и није дозвољено да спонзор ограничава слободу спонзорисаног лица. Прописана су и посебна правила за спонзорисање од стране произвођача алкохолних пића и дуванских производа. Предлогом закона се уређује судска заштита за обмањујуће и упоредно оглашавање, сагласно директиви о обмањујућем и упоредном оглашавању. Лице чије је право или интерес угрожен обмањујућим или упоредним оглашавањем може да поднесе тужбу којом захтева да суд наложи прекид обмањујућег или недозвољеног упоредног оглашавања, чак и ако обмањујуће или упоредно оглашавање није извршено, али је извесно да ће се десити. </w:t>
      </w:r>
    </w:p>
    <w:p w:rsidR="007618CD" w:rsidRDefault="007618CD" w:rsidP="007618CD">
      <w:pPr>
        <w:rPr>
          <w:sz w:val="24"/>
          <w:szCs w:val="24"/>
          <w:lang w:val="sr-Cyrl-RS"/>
        </w:rPr>
      </w:pPr>
      <w:r>
        <w:rPr>
          <w:sz w:val="24"/>
          <w:szCs w:val="24"/>
          <w:lang w:val="sr-Cyrl-RS"/>
        </w:rPr>
        <w:tab/>
        <w:t>Поводом разматрања Предлога закона о оглашавању није било дискусије.</w:t>
      </w:r>
    </w:p>
    <w:p w:rsidR="007618CD" w:rsidRDefault="007618CD" w:rsidP="007618CD">
      <w:pPr>
        <w:rPr>
          <w:sz w:val="24"/>
          <w:szCs w:val="24"/>
          <w:lang w:val="sr-Cyrl-RS"/>
        </w:rPr>
      </w:pPr>
      <w:r>
        <w:rPr>
          <w:sz w:val="24"/>
          <w:szCs w:val="24"/>
          <w:lang w:val="sr-Cyrl-RS"/>
        </w:rPr>
        <w:tab/>
        <w:t>Одбор је, у складу са чланом 155. став 2. Пословника Народне скупштине, одлучио једногласно да предложи Народној скупштини да прихвати Предлог закона о оглашавању у начелу.</w:t>
      </w:r>
    </w:p>
    <w:p w:rsidR="007618CD" w:rsidRDefault="007618CD" w:rsidP="007618CD">
      <w:pPr>
        <w:rPr>
          <w:sz w:val="24"/>
          <w:szCs w:val="24"/>
          <w:lang w:val="sr-Cyrl-RS"/>
        </w:rPr>
      </w:pPr>
      <w:r w:rsidRPr="00540DF3">
        <w:rPr>
          <w:sz w:val="24"/>
          <w:szCs w:val="24"/>
          <w:lang w:val="sr-Cyrl-RS"/>
        </w:rPr>
        <w:lastRenderedPageBreak/>
        <w:tab/>
        <w:t>За известиоца Одбора на седници Народне скупштине одређена је Александра Томић, председник Одбора.</w:t>
      </w:r>
    </w:p>
    <w:p w:rsidR="007618CD" w:rsidRDefault="007618CD" w:rsidP="007618CD">
      <w:pPr>
        <w:rPr>
          <w:sz w:val="24"/>
          <w:szCs w:val="24"/>
          <w:lang w:val="sr-Cyrl-RS"/>
        </w:rPr>
      </w:pPr>
    </w:p>
    <w:p w:rsidR="007618CD" w:rsidRDefault="007618CD" w:rsidP="007618CD">
      <w:pPr>
        <w:rPr>
          <w:sz w:val="24"/>
          <w:szCs w:val="24"/>
          <w:lang w:val="sr-Cyrl-RS"/>
        </w:rPr>
      </w:pPr>
      <w:r>
        <w:rPr>
          <w:sz w:val="24"/>
          <w:szCs w:val="24"/>
          <w:lang w:val="sr-Cyrl-RS"/>
        </w:rPr>
        <w:tab/>
        <w:t xml:space="preserve">Друга тачка дневног реда – </w:t>
      </w:r>
      <w:r w:rsidRPr="00A4449A">
        <w:rPr>
          <w:b/>
          <w:sz w:val="24"/>
          <w:szCs w:val="24"/>
          <w:lang w:val="sr-Cyrl-RS"/>
        </w:rPr>
        <w:t>Разматрање Извештаја о раду Министарства трговине, туризма и телекомуникација за период 01.07.2015. године до 30.09.2015. године</w:t>
      </w:r>
    </w:p>
    <w:p w:rsidR="007618CD" w:rsidRDefault="007618CD" w:rsidP="007618CD">
      <w:pPr>
        <w:rPr>
          <w:sz w:val="24"/>
          <w:szCs w:val="24"/>
          <w:lang w:val="sr-Cyrl-RS"/>
        </w:rPr>
      </w:pPr>
    </w:p>
    <w:p w:rsidR="007618CD" w:rsidRPr="00540DF3" w:rsidRDefault="007618CD" w:rsidP="007618CD">
      <w:pPr>
        <w:rPr>
          <w:sz w:val="24"/>
          <w:szCs w:val="24"/>
          <w:lang w:val="sr-Cyrl-RS"/>
        </w:rPr>
      </w:pPr>
      <w:r>
        <w:rPr>
          <w:sz w:val="24"/>
          <w:szCs w:val="24"/>
          <w:lang w:val="sr-Cyrl-RS"/>
        </w:rPr>
        <w:tab/>
        <w:t xml:space="preserve">Одбор је разматрао </w:t>
      </w:r>
      <w:r w:rsidRPr="00540DF3">
        <w:rPr>
          <w:sz w:val="24"/>
          <w:szCs w:val="24"/>
          <w:lang w:val="sr-Cyrl-RS"/>
        </w:rPr>
        <w:t>Извештај о раду Министарства трговине, туризма и телекомуникација за период 01.07.2015. године до 30.09.2015. године</w:t>
      </w:r>
      <w:r>
        <w:rPr>
          <w:sz w:val="24"/>
          <w:szCs w:val="24"/>
          <w:lang w:val="sr-Cyrl-RS"/>
        </w:rPr>
        <w:t xml:space="preserve"> и поднео Извештај</w:t>
      </w:r>
      <w:r w:rsidRPr="00540DF3">
        <w:rPr>
          <w:sz w:val="24"/>
          <w:szCs w:val="24"/>
          <w:lang w:val="sr-Cyrl-RS"/>
        </w:rPr>
        <w:t xml:space="preserve"> Народној скупштини.</w:t>
      </w:r>
    </w:p>
    <w:p w:rsidR="007618CD" w:rsidRDefault="007618CD" w:rsidP="007618CD">
      <w:pPr>
        <w:rPr>
          <w:sz w:val="24"/>
          <w:szCs w:val="24"/>
          <w:lang w:val="sr-Cyrl-RS"/>
        </w:rPr>
      </w:pPr>
      <w:r>
        <w:rPr>
          <w:sz w:val="24"/>
          <w:szCs w:val="24"/>
          <w:lang w:val="sr-Cyrl-RS"/>
        </w:rPr>
        <w:tab/>
        <w:t>У уводним напоменама, Стеван Никчевић, државни секретар у Министарству трговине, туризма и телекомуникација је представио најважније резултате рада Министарства у области билатералне и мултилатералне сарадње у извештајном периоду. Одржано је неколико заседања мешовитих комитета за трговину и економску сарадњу, пре свега са Словенијом, Азербејџаном и Руском Федерацијом. Настављен је рад у оквиру Трилатералног економског комитета Србије, Босне и Херцеговине и Турске, посебно у вези извоза пољопривредних производа и прерађевина на турско тржиште. Интензивиране су активности у неколико привредних грана ради остваривања сарадње са Ираном. Одржане су бројне промоције, манифестације и привредни сусрети са представницима других земаља у оквиру светске изложбе „</w:t>
      </w:r>
      <w:r>
        <w:rPr>
          <w:sz w:val="24"/>
          <w:szCs w:val="24"/>
          <w:lang w:val="en-US"/>
        </w:rPr>
        <w:t>EXPO</w:t>
      </w:r>
      <w:r>
        <w:rPr>
          <w:sz w:val="24"/>
          <w:szCs w:val="24"/>
          <w:lang w:val="sr-Cyrl-RS"/>
        </w:rPr>
        <w:t xml:space="preserve"> – Милано 2015“. Направљен је портал за извознике на сајту Министарства за сва инотржишта са циљем да се олакша и убрза проток информација нашим привредницима који су заинтересовани за извоз. У извештајном периоду припремљен је Нацрт закона о потврђивању Протокола о изменама и допунама Споразума о слободној трговини између држава ЕФТА и Републике Србије и донета Одлука о утврђивању Националне контролне листе наоружања и војне опреме. Остварена је сарадња са другим министарствима Владе Србије, посебно у вези увођења заштитних мера на увоз из Европске уније појединих пољопривредних производа, као што су млеко, млечни производи, воће и поврће. Министарство је имало значајну активност у решавању кризе са Хрватском поводом њихове одлуке да затворе граничне прелазе за проток робе из Републике Србије. У оквиру састанака са представницима ЦЕФТА усаглашени су додатни протоколи у трговини услугама, анекси о кретању физичких лица и вођени преговори о нивоу либерализације туристичких услуга и услуга заштите животне средине, рекреационих, културних и спортских клубова. Представници Министарства су учествовали у техничким преговорима Привредне коморе Србије и Привредне коморе АП КиМ на којима су размотрена питања поштанског и железничког саобраћаја и постојеће царинске баријере и трговина. Одвијале су се интензивне активности на превазилажењу проблема који су настали усвајањем новог Закона о лековима и медицинским услугама у Албанији и повећањем акциза на производе пивске индустрије у Босни и Херцеговини. Министарство је имало перманентну активност са привредним субјектима који се баве извозом наоружања и војне опреме, а резултати се виде у квалитетном и константном извозу ове робе. </w:t>
      </w:r>
    </w:p>
    <w:p w:rsidR="007618CD" w:rsidRDefault="007618CD" w:rsidP="007618CD">
      <w:pPr>
        <w:rPr>
          <w:sz w:val="24"/>
          <w:szCs w:val="24"/>
          <w:lang w:val="sr-Cyrl-RS"/>
        </w:rPr>
      </w:pPr>
      <w:r>
        <w:rPr>
          <w:sz w:val="24"/>
          <w:szCs w:val="24"/>
          <w:lang w:val="sr-Cyrl-RS"/>
        </w:rPr>
        <w:tab/>
        <w:t xml:space="preserve">Весна Ковач, државни секретар у Министарству трговине, туризма и телекомуникација је истакла да је у извештајном периоду припремљен Нацрт закона о оглашавању и предат на мишљење Европској комисији. Припремљени су радна верзија Нацрта закона о услугама, уз стручну помоћ у оквиру пројекта норвешке билатералне помоћи „Јачање сектора услуга“ и Предлог правилника о садржини, облику, начину вођења и месту чувања евиденције промета. Донета је Уредба о обавезној производњи и промету хлеба од брашна „Т-500“. Завршен је конкурс за доделу субвенција привредним субјектима за развој традиционалних заната у Републици Србији у 2015. </w:t>
      </w:r>
      <w:r>
        <w:rPr>
          <w:sz w:val="24"/>
          <w:szCs w:val="24"/>
          <w:lang w:val="sr-Cyrl-RS"/>
        </w:rPr>
        <w:lastRenderedPageBreak/>
        <w:t>години. У функцији је регистар посредника у промету непокретности на званичној интернет страници Министарства који омогућава свим корисницима да утврде да ли посредник ради у складу са законом и која лица имају положен стручни испит. У периоду од јула до септембра 2015. године цене су биле стабилне. Инфлација је у септембру 2015. године према децембру претходне године износила 2%, а међугодишњи раст цена у септембру 2015. године у односу на септембар претходне године износио је 1,4%. Циљана инфлација за 2015. годину је на нивоу 4,2%. Настављене су активности на спровођењу Стратегије заштите потрошача за период 2013-2018. године, а у Извештају дате су и детаљне активности тржишне инспекције.</w:t>
      </w:r>
    </w:p>
    <w:p w:rsidR="007618CD" w:rsidRDefault="007618CD" w:rsidP="007618CD">
      <w:pPr>
        <w:rPr>
          <w:sz w:val="24"/>
          <w:szCs w:val="24"/>
          <w:lang w:val="sr-Cyrl-RS"/>
        </w:rPr>
      </w:pPr>
      <w:r>
        <w:rPr>
          <w:sz w:val="24"/>
          <w:szCs w:val="24"/>
          <w:lang w:val="sr-Cyrl-RS"/>
        </w:rPr>
        <w:tab/>
        <w:t xml:space="preserve">Рената Пинџо, помоћник министра трговине, туризма и телекомуникација је представила најважније активности Министарства у извештајном периоду из области туризма. Истакла је да су припремљени Закон о потврђивању Споразума између Владе Републике Србије и Владе Републике Македоније о сарадњи у области туризма и Закон о потврђивању амандмана </w:t>
      </w:r>
      <w:r>
        <w:rPr>
          <w:sz w:val="24"/>
          <w:szCs w:val="24"/>
          <w:lang w:val="sr-Latn-RS"/>
        </w:rPr>
        <w:t xml:space="preserve">A/RES/422 (XIV), A/RES/511 (XVI) </w:t>
      </w:r>
      <w:r>
        <w:rPr>
          <w:sz w:val="24"/>
          <w:szCs w:val="24"/>
          <w:lang w:val="sr-Cyrl-RS"/>
        </w:rPr>
        <w:t xml:space="preserve">и </w:t>
      </w:r>
      <w:r>
        <w:rPr>
          <w:sz w:val="24"/>
          <w:szCs w:val="24"/>
          <w:lang w:val="sr-Latn-RS"/>
        </w:rPr>
        <w:t xml:space="preserve">A/RES/512 (XVI) </w:t>
      </w:r>
      <w:r>
        <w:rPr>
          <w:sz w:val="24"/>
          <w:szCs w:val="24"/>
          <w:lang w:val="sr-Cyrl-RS"/>
        </w:rPr>
        <w:t>на Статут Светске туристичке организације. Донет је закључак Владе којим је Влада утврдила основ за закључивање Меморандума о разумевању ресорних министарстава Републике Србије и Републике Хрватске о сарадњи у области туризма. Утврђен је текст Нацрта меморандума о разумевању о сарадњи у области туризма између Министарства трговине, туризма и телекомуникација Републике Србије и Саудијског високог савета за туризам и антиквитете Краљевине Саудијске Арабије. Потписан је Споразум о сарадњи између Министарства трговине, туризма и телекомуникација Републике Србије и Пословне асоцијације Јапана и Југо-источне Европе. Редовне су активности на категорисању туристичких објеката за смешај и донето је преко 30 различитих решења. Први пут је категорисан један наутички објекат, односно марина у Апатину. Одобрено је преко 40 пројеката укупне вредности око 370 милиона динара. Подела ваучера је у значајној мери утицала на раст броја домаћих туриста и први пут након 2007. године  бележи се раст домаћег туристичког промета од око 12,5%, тако да ће се са активношћу поделе ваучера наставити и у 2016. години. Око 60% ваучера су користили пензионери, око 10% незапослена лица и око 29% лица која остварују зараду до 60.000 динара. У извештајном периоду припремане су измене и допуне Закона о туризму и подзаконска акта.</w:t>
      </w:r>
    </w:p>
    <w:p w:rsidR="007618CD" w:rsidRDefault="007618CD" w:rsidP="007618CD">
      <w:pPr>
        <w:rPr>
          <w:sz w:val="24"/>
          <w:szCs w:val="24"/>
          <w:lang w:val="sr-Cyrl-RS"/>
        </w:rPr>
      </w:pPr>
      <w:r>
        <w:rPr>
          <w:sz w:val="24"/>
          <w:szCs w:val="24"/>
          <w:lang w:val="sr-Cyrl-RS"/>
        </w:rPr>
        <w:tab/>
        <w:t xml:space="preserve">Поводом разматрања </w:t>
      </w:r>
      <w:r w:rsidRPr="00434EFA">
        <w:rPr>
          <w:sz w:val="24"/>
          <w:szCs w:val="24"/>
          <w:lang w:val="sr-Cyrl-RS"/>
        </w:rPr>
        <w:t>Извештаја о раду Министарства трговине, туризма и телекомуникација за период 01.07.2015. године до 30.09.2015. године</w:t>
      </w:r>
      <w:r>
        <w:rPr>
          <w:sz w:val="24"/>
          <w:szCs w:val="24"/>
          <w:lang w:val="sr-Cyrl-RS"/>
        </w:rPr>
        <w:t xml:space="preserve"> није било дискусије.</w:t>
      </w:r>
    </w:p>
    <w:p w:rsidR="007618CD" w:rsidRDefault="007618CD" w:rsidP="007618CD">
      <w:pPr>
        <w:rPr>
          <w:sz w:val="24"/>
          <w:szCs w:val="24"/>
          <w:lang w:val="sr-Cyrl-RS"/>
        </w:rPr>
      </w:pPr>
      <w:r>
        <w:rPr>
          <w:sz w:val="24"/>
          <w:szCs w:val="24"/>
          <w:lang w:val="sr-Cyrl-RS"/>
        </w:rPr>
        <w:tab/>
        <w:t xml:space="preserve">Сагласно члану 229. Пословника Народне скупштине, Одбор за привреду, регионални развој, трговину, туризам и енегетику размотрио је Извештај о раду </w:t>
      </w:r>
      <w:r w:rsidRPr="00434EFA">
        <w:rPr>
          <w:sz w:val="24"/>
          <w:szCs w:val="24"/>
          <w:lang w:val="sr-Cyrl-RS"/>
        </w:rPr>
        <w:t>Министарства трговине, туризма и телекомуникација за период 01.07.2015. године до 30.09.2015. године</w:t>
      </w:r>
      <w:r>
        <w:rPr>
          <w:sz w:val="24"/>
          <w:szCs w:val="24"/>
          <w:lang w:val="sr-Cyrl-RS"/>
        </w:rPr>
        <w:t xml:space="preserve"> и одлучио да га прихвати.</w:t>
      </w:r>
    </w:p>
    <w:p w:rsidR="007618CD" w:rsidRPr="00AE2F7F" w:rsidRDefault="007618CD" w:rsidP="007618CD">
      <w:pPr>
        <w:rPr>
          <w:sz w:val="24"/>
          <w:szCs w:val="24"/>
          <w:lang w:val="sr-Cyrl-RS"/>
        </w:rPr>
      </w:pPr>
    </w:p>
    <w:p w:rsidR="007618CD" w:rsidRPr="00540DF3" w:rsidRDefault="007618CD" w:rsidP="007618CD">
      <w:pPr>
        <w:rPr>
          <w:sz w:val="24"/>
          <w:szCs w:val="24"/>
          <w:lang w:val="sr-Cyrl-RS"/>
        </w:rPr>
      </w:pPr>
      <w:r w:rsidRPr="00540DF3">
        <w:rPr>
          <w:sz w:val="24"/>
          <w:szCs w:val="24"/>
          <w:lang w:val="sr-Cyrl-RS"/>
        </w:rPr>
        <w:tab/>
        <w:t>Седница је закључена у 1</w:t>
      </w:r>
      <w:r>
        <w:rPr>
          <w:sz w:val="24"/>
          <w:szCs w:val="24"/>
          <w:lang w:val="sr-Cyrl-RS"/>
        </w:rPr>
        <w:t>2</w:t>
      </w:r>
      <w:r w:rsidRPr="00540DF3">
        <w:rPr>
          <w:sz w:val="24"/>
          <w:szCs w:val="24"/>
          <w:lang w:val="sr-Cyrl-RS"/>
        </w:rPr>
        <w:t xml:space="preserve"> часова и 55 минута.</w:t>
      </w:r>
    </w:p>
    <w:p w:rsidR="007618CD" w:rsidRPr="00540DF3" w:rsidRDefault="007618CD" w:rsidP="007618CD">
      <w:pPr>
        <w:tabs>
          <w:tab w:val="left" w:pos="5670"/>
        </w:tabs>
        <w:rPr>
          <w:sz w:val="24"/>
          <w:szCs w:val="24"/>
          <w:lang w:val="sr-Cyrl-RS"/>
        </w:rPr>
      </w:pPr>
      <w:r w:rsidRPr="00540DF3">
        <w:rPr>
          <w:sz w:val="24"/>
          <w:szCs w:val="24"/>
          <w:lang w:val="sr-Cyrl-RS"/>
        </w:rPr>
        <w:tab/>
        <w:t>Саставни део овог записника чини обрађени тонски снимак седнице Одбора.</w:t>
      </w:r>
    </w:p>
    <w:p w:rsidR="007618CD" w:rsidRDefault="007618CD" w:rsidP="007618CD">
      <w:pPr>
        <w:rPr>
          <w:sz w:val="24"/>
          <w:szCs w:val="24"/>
          <w:lang w:val="sr-Cyrl-RS"/>
        </w:rPr>
      </w:pPr>
    </w:p>
    <w:tbl>
      <w:tblPr>
        <w:tblW w:w="0" w:type="auto"/>
        <w:jc w:val="center"/>
        <w:tblLook w:val="04A0" w:firstRow="1" w:lastRow="0" w:firstColumn="1" w:lastColumn="0" w:noHBand="0" w:noVBand="1"/>
      </w:tblPr>
      <w:tblGrid>
        <w:gridCol w:w="4611"/>
        <w:gridCol w:w="4632"/>
      </w:tblGrid>
      <w:tr w:rsidR="007618CD" w:rsidRPr="006F1DE7" w:rsidTr="007618CD">
        <w:trPr>
          <w:jc w:val="center"/>
        </w:trPr>
        <w:tc>
          <w:tcPr>
            <w:tcW w:w="4611" w:type="dxa"/>
            <w:shd w:val="clear" w:color="auto" w:fill="auto"/>
          </w:tcPr>
          <w:p w:rsidR="007618CD" w:rsidRPr="006F1DE7" w:rsidRDefault="007618CD" w:rsidP="003A117B">
            <w:pPr>
              <w:jc w:val="center"/>
              <w:rPr>
                <w:sz w:val="24"/>
                <w:szCs w:val="24"/>
                <w:lang w:val="sr-Cyrl-RS"/>
              </w:rPr>
            </w:pPr>
            <w:r w:rsidRPr="006F1DE7">
              <w:rPr>
                <w:sz w:val="24"/>
                <w:szCs w:val="24"/>
                <w:lang w:val="sr-Cyrl-RS"/>
              </w:rPr>
              <w:t>СЕКРЕТАР</w:t>
            </w:r>
          </w:p>
          <w:p w:rsidR="007618CD" w:rsidRPr="006F1DE7" w:rsidRDefault="007618CD" w:rsidP="003A117B">
            <w:pPr>
              <w:jc w:val="center"/>
              <w:rPr>
                <w:sz w:val="32"/>
                <w:szCs w:val="32"/>
                <w:lang w:val="sr-Cyrl-RS"/>
              </w:rPr>
            </w:pPr>
          </w:p>
          <w:p w:rsidR="007618CD" w:rsidRPr="006F1DE7" w:rsidRDefault="007618CD" w:rsidP="003A117B">
            <w:pPr>
              <w:jc w:val="center"/>
              <w:rPr>
                <w:sz w:val="24"/>
                <w:szCs w:val="24"/>
                <w:lang w:val="sr-Cyrl-RS"/>
              </w:rPr>
            </w:pPr>
            <w:r w:rsidRPr="006F1DE7">
              <w:rPr>
                <w:sz w:val="24"/>
                <w:szCs w:val="24"/>
                <w:lang w:val="sr-Cyrl-RS"/>
              </w:rPr>
              <w:t>Душан Лазић</w:t>
            </w:r>
          </w:p>
        </w:tc>
        <w:tc>
          <w:tcPr>
            <w:tcW w:w="4632" w:type="dxa"/>
            <w:shd w:val="clear" w:color="auto" w:fill="auto"/>
          </w:tcPr>
          <w:p w:rsidR="007618CD" w:rsidRPr="006F1DE7" w:rsidRDefault="007618CD" w:rsidP="003A117B">
            <w:pPr>
              <w:jc w:val="center"/>
              <w:rPr>
                <w:sz w:val="24"/>
                <w:szCs w:val="24"/>
                <w:lang w:val="sr-Cyrl-RS"/>
              </w:rPr>
            </w:pPr>
            <w:r w:rsidRPr="006F1DE7">
              <w:rPr>
                <w:sz w:val="24"/>
                <w:szCs w:val="24"/>
                <w:lang w:val="sr-Cyrl-RS"/>
              </w:rPr>
              <w:t>ПРЕДСЕДНИК</w:t>
            </w:r>
          </w:p>
          <w:p w:rsidR="007618CD" w:rsidRPr="006F1DE7" w:rsidRDefault="007618CD" w:rsidP="003A117B">
            <w:pPr>
              <w:jc w:val="center"/>
              <w:rPr>
                <w:sz w:val="32"/>
                <w:szCs w:val="32"/>
                <w:lang w:val="sr-Cyrl-RS"/>
              </w:rPr>
            </w:pPr>
          </w:p>
          <w:p w:rsidR="007618CD" w:rsidRDefault="007618CD" w:rsidP="003A117B">
            <w:pPr>
              <w:jc w:val="center"/>
              <w:rPr>
                <w:sz w:val="24"/>
                <w:szCs w:val="24"/>
                <w:lang w:val="sr-Cyrl-RS"/>
              </w:rPr>
            </w:pPr>
            <w:r w:rsidRPr="006F1DE7">
              <w:rPr>
                <w:sz w:val="24"/>
                <w:szCs w:val="24"/>
                <w:lang w:val="sr-Cyrl-RS"/>
              </w:rPr>
              <w:t>др Александра Томић</w:t>
            </w:r>
          </w:p>
          <w:p w:rsidR="007618CD" w:rsidRPr="006F1DE7" w:rsidRDefault="007618CD" w:rsidP="003A117B">
            <w:pPr>
              <w:jc w:val="center"/>
              <w:rPr>
                <w:sz w:val="24"/>
                <w:szCs w:val="24"/>
                <w:lang w:val="sr-Cyrl-RS"/>
              </w:rPr>
            </w:pPr>
          </w:p>
        </w:tc>
      </w:tr>
    </w:tbl>
    <w:p w:rsidR="007618CD" w:rsidRDefault="007618CD" w:rsidP="007618CD">
      <w:pPr>
        <w:ind w:left="720"/>
        <w:rPr>
          <w:sz w:val="20"/>
          <w:szCs w:val="20"/>
          <w:lang w:val="sr-Cyrl-RS"/>
        </w:rPr>
      </w:pPr>
      <w:r w:rsidRPr="009532A1">
        <w:rPr>
          <w:sz w:val="20"/>
          <w:szCs w:val="20"/>
          <w:lang w:val="sr-Latn-RS"/>
        </w:rPr>
        <w:fldChar w:fldCharType="begin"/>
      </w:r>
      <w:r w:rsidRPr="009532A1">
        <w:rPr>
          <w:sz w:val="20"/>
          <w:szCs w:val="20"/>
          <w:lang w:val="sr-Latn-RS"/>
        </w:rPr>
        <w:instrText xml:space="preserve"> FILENAME </w:instrText>
      </w:r>
      <w:r w:rsidRPr="009532A1">
        <w:rPr>
          <w:sz w:val="20"/>
          <w:szCs w:val="20"/>
          <w:lang w:val="sr-Latn-RS"/>
        </w:rPr>
        <w:fldChar w:fldCharType="separate"/>
      </w:r>
      <w:r w:rsidRPr="009532A1">
        <w:rPr>
          <w:noProof/>
          <w:sz w:val="20"/>
          <w:szCs w:val="20"/>
          <w:lang w:val="sr-Latn-RS"/>
        </w:rPr>
        <w:t>4201016.001</w:t>
      </w:r>
      <w:r w:rsidRPr="009532A1">
        <w:rPr>
          <w:sz w:val="20"/>
          <w:szCs w:val="20"/>
          <w:lang w:val="sr-Latn-RS"/>
        </w:rPr>
        <w:fldChar w:fldCharType="end"/>
      </w:r>
      <w:r w:rsidRPr="009532A1">
        <w:rPr>
          <w:sz w:val="20"/>
          <w:szCs w:val="20"/>
          <w:lang w:val="sr-Latn-RS"/>
        </w:rPr>
        <w:t>/</w:t>
      </w:r>
      <w:r w:rsidRPr="009532A1">
        <w:rPr>
          <w:sz w:val="20"/>
          <w:szCs w:val="20"/>
          <w:lang w:val="sr-Latn-RS"/>
        </w:rPr>
        <w:fldChar w:fldCharType="begin"/>
      </w:r>
      <w:r w:rsidRPr="009532A1">
        <w:rPr>
          <w:sz w:val="20"/>
          <w:szCs w:val="20"/>
          <w:lang w:val="sr-Latn-RS"/>
        </w:rPr>
        <w:instrText xml:space="preserve"> SECTION  \# "0" \* Arabic  \* MERGEFORMAT </w:instrText>
      </w:r>
      <w:r w:rsidRPr="009532A1">
        <w:rPr>
          <w:sz w:val="20"/>
          <w:szCs w:val="20"/>
          <w:lang w:val="sr-Latn-RS"/>
        </w:rPr>
        <w:fldChar w:fldCharType="separate"/>
      </w:r>
      <w:r>
        <w:rPr>
          <w:sz w:val="20"/>
          <w:szCs w:val="20"/>
          <w:lang w:val="sr-Latn-RS"/>
        </w:rPr>
        <w:t>6</w:t>
      </w:r>
      <w:r w:rsidRPr="009532A1">
        <w:rPr>
          <w:sz w:val="20"/>
          <w:szCs w:val="20"/>
          <w:lang w:val="sr-Latn-RS"/>
        </w:rPr>
        <w:fldChar w:fldCharType="end"/>
      </w:r>
    </w:p>
    <w:p w:rsidR="00031CD2" w:rsidRPr="007618CD" w:rsidRDefault="00031CD2" w:rsidP="007618CD"/>
    <w:sectPr w:rsidR="00031CD2" w:rsidRPr="007618CD" w:rsidSect="00971771">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E8" w:rsidRDefault="00C512E8" w:rsidP="00971771">
      <w:r>
        <w:separator/>
      </w:r>
    </w:p>
  </w:endnote>
  <w:endnote w:type="continuationSeparator" w:id="0">
    <w:p w:rsidR="00C512E8" w:rsidRDefault="00C512E8" w:rsidP="009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E8" w:rsidRDefault="00C512E8" w:rsidP="00971771">
      <w:r>
        <w:separator/>
      </w:r>
    </w:p>
  </w:footnote>
  <w:footnote w:type="continuationSeparator" w:id="0">
    <w:p w:rsidR="00C512E8" w:rsidRDefault="00C512E8" w:rsidP="0097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rsidP="007C6E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771" w:rsidRDefault="00971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rsidP="007C6E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227">
      <w:rPr>
        <w:rStyle w:val="PageNumber"/>
        <w:noProof/>
      </w:rPr>
      <w:t>4</w:t>
    </w:r>
    <w:r>
      <w:rPr>
        <w:rStyle w:val="PageNumber"/>
      </w:rPr>
      <w:fldChar w:fldCharType="end"/>
    </w:r>
  </w:p>
  <w:p w:rsidR="00971771" w:rsidRDefault="00971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71" w:rsidRDefault="00971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28"/>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22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628"/>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618C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E6CBF"/>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71771"/>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2E8"/>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71"/>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771"/>
    <w:pPr>
      <w:tabs>
        <w:tab w:val="clear" w:pos="1440"/>
        <w:tab w:val="center" w:pos="4680"/>
        <w:tab w:val="right" w:pos="9360"/>
      </w:tabs>
    </w:pPr>
  </w:style>
  <w:style w:type="character" w:customStyle="1" w:styleId="HeaderChar">
    <w:name w:val="Header Char"/>
    <w:basedOn w:val="DefaultParagraphFont"/>
    <w:link w:val="Header"/>
    <w:uiPriority w:val="99"/>
    <w:rsid w:val="00971771"/>
    <w:rPr>
      <w:sz w:val="26"/>
      <w:szCs w:val="26"/>
      <w:lang w:val="sr-Cyrl-CS"/>
    </w:rPr>
  </w:style>
  <w:style w:type="paragraph" w:styleId="Footer">
    <w:name w:val="footer"/>
    <w:basedOn w:val="Normal"/>
    <w:link w:val="FooterChar"/>
    <w:uiPriority w:val="99"/>
    <w:unhideWhenUsed/>
    <w:rsid w:val="00971771"/>
    <w:pPr>
      <w:tabs>
        <w:tab w:val="clear" w:pos="1440"/>
        <w:tab w:val="center" w:pos="4680"/>
        <w:tab w:val="right" w:pos="9360"/>
      </w:tabs>
    </w:pPr>
  </w:style>
  <w:style w:type="character" w:customStyle="1" w:styleId="FooterChar">
    <w:name w:val="Footer Char"/>
    <w:basedOn w:val="DefaultParagraphFont"/>
    <w:link w:val="Footer"/>
    <w:uiPriority w:val="99"/>
    <w:rsid w:val="00971771"/>
    <w:rPr>
      <w:sz w:val="26"/>
      <w:szCs w:val="26"/>
      <w:lang w:val="sr-Cyrl-CS"/>
    </w:rPr>
  </w:style>
  <w:style w:type="character" w:styleId="PageNumber">
    <w:name w:val="page number"/>
    <w:basedOn w:val="DefaultParagraphFont"/>
    <w:uiPriority w:val="99"/>
    <w:semiHidden/>
    <w:unhideWhenUsed/>
    <w:rsid w:val="00971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71"/>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771"/>
    <w:pPr>
      <w:tabs>
        <w:tab w:val="clear" w:pos="1440"/>
        <w:tab w:val="center" w:pos="4680"/>
        <w:tab w:val="right" w:pos="9360"/>
      </w:tabs>
    </w:pPr>
  </w:style>
  <w:style w:type="character" w:customStyle="1" w:styleId="HeaderChar">
    <w:name w:val="Header Char"/>
    <w:basedOn w:val="DefaultParagraphFont"/>
    <w:link w:val="Header"/>
    <w:uiPriority w:val="99"/>
    <w:rsid w:val="00971771"/>
    <w:rPr>
      <w:sz w:val="26"/>
      <w:szCs w:val="26"/>
      <w:lang w:val="sr-Cyrl-CS"/>
    </w:rPr>
  </w:style>
  <w:style w:type="paragraph" w:styleId="Footer">
    <w:name w:val="footer"/>
    <w:basedOn w:val="Normal"/>
    <w:link w:val="FooterChar"/>
    <w:uiPriority w:val="99"/>
    <w:unhideWhenUsed/>
    <w:rsid w:val="00971771"/>
    <w:pPr>
      <w:tabs>
        <w:tab w:val="clear" w:pos="1440"/>
        <w:tab w:val="center" w:pos="4680"/>
        <w:tab w:val="right" w:pos="9360"/>
      </w:tabs>
    </w:pPr>
  </w:style>
  <w:style w:type="character" w:customStyle="1" w:styleId="FooterChar">
    <w:name w:val="Footer Char"/>
    <w:basedOn w:val="DefaultParagraphFont"/>
    <w:link w:val="Footer"/>
    <w:uiPriority w:val="99"/>
    <w:rsid w:val="00971771"/>
    <w:rPr>
      <w:sz w:val="26"/>
      <w:szCs w:val="26"/>
      <w:lang w:val="sr-Cyrl-CS"/>
    </w:rPr>
  </w:style>
  <w:style w:type="character" w:styleId="PageNumber">
    <w:name w:val="page number"/>
    <w:basedOn w:val="DefaultParagraphFont"/>
    <w:uiPriority w:val="99"/>
    <w:semiHidden/>
    <w:unhideWhenUsed/>
    <w:rsid w:val="0097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treci</dc:creator>
  <cp:keywords/>
  <dc:description/>
  <cp:lastModifiedBy>Sanja Sujdovic</cp:lastModifiedBy>
  <cp:revision>5</cp:revision>
  <dcterms:created xsi:type="dcterms:W3CDTF">2016-02-17T11:03:00Z</dcterms:created>
  <dcterms:modified xsi:type="dcterms:W3CDTF">2016-02-25T07:46:00Z</dcterms:modified>
</cp:coreProperties>
</file>